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D" w:rsidRDefault="0072064D" w:rsidP="0072064D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"Preparing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Promuex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Global Professional Certificate: Essential Knowledge and Skills Checklist"</w:t>
      </w:r>
    </w:p>
    <w:p w:rsidR="0072064D" w:rsidRDefault="0072064D" w:rsidP="0072064D">
      <w:pPr>
        <w:pStyle w:val="NormalWeb"/>
        <w:spacing w:line="276" w:lineRule="auto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  <w:bookmarkStart w:id="0" w:name="_GoBack"/>
      <w:bookmarkEnd w:id="0"/>
    </w:p>
    <w:p w:rsidR="0072064D" w:rsidRDefault="0072064D" w:rsidP="0072064D">
      <w:pPr>
        <w:pStyle w:val="Heading1"/>
        <w:shd w:val="clear" w:color="auto" w:fill="FFFFFF"/>
        <w:spacing w:after="206"/>
        <w:jc w:val="center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72064D">
        <w:rPr>
          <w:rStyle w:val="Strong"/>
          <w:b/>
          <w:bCs/>
          <w:color w:val="404040"/>
          <w:sz w:val="24"/>
          <w:szCs w:val="24"/>
          <w:highlight w:val="yellow"/>
        </w:rPr>
        <w:t>Comprehensive Instruction Plan for Professional Landlord &amp; Real Estate Investment Certification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Program Overview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color w:val="404040"/>
        </w:rPr>
      </w:pPr>
      <w:r>
        <w:rPr>
          <w:color w:val="404040"/>
          <w:shd w:val="clear" w:color="auto" w:fill="FFFFFF"/>
        </w:rPr>
        <w:t>This professional certification equips property owners and real estate investors with the legal, financial, and operational skills to build profitable rental portfolios while maintaining compliance and tenant satisfaction.</w:t>
      </w:r>
      <w:r>
        <w:rPr>
          <w:color w:val="404040"/>
        </w:rPr>
        <w:t xml:space="preserve"> </w:t>
      </w:r>
    </w:p>
    <w:p w:rsidR="0072064D" w:rsidRDefault="0072064D" w:rsidP="0072064D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>
        <w:rPr>
          <w:rStyle w:val="Strong"/>
          <w:rFonts w:eastAsiaTheme="majorEastAsia"/>
          <w:b/>
          <w:bCs/>
          <w:color w:val="404040"/>
          <w:sz w:val="24"/>
          <w:szCs w:val="24"/>
        </w:rPr>
        <w:t>Program Learning Outcomes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color w:val="404040"/>
        </w:rPr>
        <w:t>Upon completion, certified professionals will be able to:</w:t>
      </w:r>
    </w:p>
    <w:p w:rsidR="0072064D" w:rsidRDefault="0072064D" w:rsidP="0072064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Navigate Complex Legal Landscapes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Comply with federal, state, and municipal housing regulations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Draft legally binding lease agreements with customized clauses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Execute evictions while minimizing liability exposure</w:t>
      </w:r>
    </w:p>
    <w:p w:rsidR="0072064D" w:rsidRDefault="0072064D" w:rsidP="0072064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Optimize Financial Performance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Conduct advanced property valuation and cash flow analysis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Structure debt financing to maximize portfolio growth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Implement tax-efficient ownership structures</w:t>
      </w:r>
    </w:p>
    <w:p w:rsidR="0072064D" w:rsidRDefault="0072064D" w:rsidP="0072064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Implement Professional Management Systems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Develop standardized tenant screening protocols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Create maintenance workflows that preserve asset value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 xml:space="preserve">Utilize </w:t>
      </w:r>
      <w:proofErr w:type="spellStart"/>
      <w:r>
        <w:rPr>
          <w:color w:val="404040"/>
        </w:rPr>
        <w:t>proptech</w:t>
      </w:r>
      <w:proofErr w:type="spellEnd"/>
      <w:r>
        <w:rPr>
          <w:color w:val="404040"/>
        </w:rPr>
        <w:t xml:space="preserve"> solutions for operational efficiency</w:t>
      </w:r>
    </w:p>
    <w:p w:rsidR="0072064D" w:rsidRDefault="0072064D" w:rsidP="0072064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Execute Value-Creation Strategies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Identify and execute value-add renovation projects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Structure 1031 exchanges for tax-deferred growth</w:t>
      </w:r>
    </w:p>
    <w:p w:rsidR="0072064D" w:rsidRDefault="0072064D" w:rsidP="0072064D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Transition from SFR to multi-family investments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Detailed Course Modules</w:t>
      </w:r>
    </w:p>
    <w:p w:rsidR="0072064D" w:rsidRDefault="0072064D" w:rsidP="0072064D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>
        <w:rPr>
          <w:rStyle w:val="Strong"/>
          <w:rFonts w:eastAsiaTheme="majorEastAsia"/>
          <w:b/>
          <w:bCs/>
          <w:color w:val="404040"/>
          <w:sz w:val="24"/>
          <w:szCs w:val="24"/>
        </w:rPr>
        <w:t>Module 1: Legal Foundations &amp; Compliance (40 Hours)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1.1: Regulatory Framework</w:t>
      </w:r>
    </w:p>
    <w:p w:rsidR="0072064D" w:rsidRDefault="0072064D" w:rsidP="0072064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Fair Housing Act (protected classes and advertising compliance)</w:t>
      </w:r>
    </w:p>
    <w:p w:rsidR="0072064D" w:rsidRDefault="0072064D" w:rsidP="0072064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Local rent control ordinances and just-cause eviction laws</w:t>
      </w:r>
    </w:p>
    <w:p w:rsidR="0072064D" w:rsidRDefault="0072064D" w:rsidP="0072064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Americans with Disabilities Act (ADA) requirements</w:t>
      </w:r>
    </w:p>
    <w:p w:rsidR="0072064D" w:rsidRDefault="0072064D" w:rsidP="0072064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Lead-based paint and mold disclosure protocols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1.2: Lease Contract Mastery</w:t>
      </w:r>
    </w:p>
    <w:p w:rsidR="0072064D" w:rsidRDefault="0072064D" w:rsidP="0072064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Essential clauses: rent acceleration, subletting restrictions, pet policies</w:t>
      </w:r>
    </w:p>
    <w:p w:rsidR="0072064D" w:rsidRDefault="0072064D" w:rsidP="0072064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State-specific security deposit handling requirements</w:t>
      </w:r>
    </w:p>
    <w:p w:rsidR="0072064D" w:rsidRDefault="0072064D" w:rsidP="0072064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Lease termination and renewal procedures</w:t>
      </w:r>
    </w:p>
    <w:p w:rsidR="0072064D" w:rsidRDefault="0072064D" w:rsidP="0072064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Digital signature and electronic recordkeeping compliance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1.3: Eviction Proceedings</w:t>
      </w:r>
    </w:p>
    <w:p w:rsidR="0072064D" w:rsidRDefault="0072064D" w:rsidP="0072064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Step-by-step unlawful detainer process</w:t>
      </w:r>
    </w:p>
    <w:p w:rsidR="0072064D" w:rsidRDefault="0072064D" w:rsidP="0072064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Service of notice requirements by jurisdiction</w:t>
      </w:r>
    </w:p>
    <w:p w:rsidR="0072064D" w:rsidRDefault="0072064D" w:rsidP="0072064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Court filing procedures and timelines</w:t>
      </w:r>
    </w:p>
    <w:p w:rsidR="0072064D" w:rsidRDefault="0072064D" w:rsidP="0072064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Post-judgment collection strategies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Practical Application:</w:t>
      </w:r>
    </w:p>
    <w:p w:rsidR="0072064D" w:rsidRDefault="0072064D" w:rsidP="0072064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Draft lease agreements for:</w:t>
      </w:r>
    </w:p>
    <w:p w:rsidR="0072064D" w:rsidRDefault="0072064D" w:rsidP="0072064D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Single-family residence (California Civil Code compliant)</w:t>
      </w:r>
    </w:p>
    <w:p w:rsidR="0072064D" w:rsidRDefault="0072064D" w:rsidP="0072064D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Multi-unit building with common area rules</w:t>
      </w:r>
    </w:p>
    <w:p w:rsidR="0072064D" w:rsidRDefault="0072064D" w:rsidP="0072064D">
      <w:pPr>
        <w:pStyle w:val="ds-markdown-paragraph"/>
        <w:numPr>
          <w:ilvl w:val="1"/>
          <w:numId w:val="2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Short-term rental with local ordinance restrictions</w:t>
      </w:r>
    </w:p>
    <w:p w:rsidR="0072064D" w:rsidRDefault="0072064D" w:rsidP="0072064D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>
        <w:rPr>
          <w:rStyle w:val="Strong"/>
          <w:rFonts w:eastAsiaTheme="majorEastAsia"/>
          <w:b/>
          <w:bCs/>
          <w:color w:val="404040"/>
          <w:sz w:val="24"/>
          <w:szCs w:val="24"/>
        </w:rPr>
        <w:t>Module 2: Financial Analysis &amp; Tax Strategy (35 Hours)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2.1: Advanced Underwriting</w:t>
      </w:r>
    </w:p>
    <w:p w:rsidR="0072064D" w:rsidRDefault="0072064D" w:rsidP="0072064D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Calculating key metrics:</w:t>
      </w:r>
    </w:p>
    <w:p w:rsidR="0072064D" w:rsidRDefault="0072064D" w:rsidP="0072064D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Debt Service Coverage Ratio (DSCR)</w:t>
      </w:r>
    </w:p>
    <w:p w:rsidR="0072064D" w:rsidRDefault="0072064D" w:rsidP="0072064D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Net Operating Income (NOI)</w:t>
      </w:r>
    </w:p>
    <w:p w:rsidR="0072064D" w:rsidRDefault="0072064D" w:rsidP="0072064D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Capitalization Rate (Cap Rate)</w:t>
      </w:r>
    </w:p>
    <w:p w:rsidR="0072064D" w:rsidRDefault="0072064D" w:rsidP="0072064D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Cash-on-Cash Return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lastRenderedPageBreak/>
        <w:t>Unit 2.2: Financing Strategies</w:t>
      </w:r>
    </w:p>
    <w:p w:rsidR="0072064D" w:rsidRDefault="0072064D" w:rsidP="0072064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Portfolio loan underwriting requirements</w:t>
      </w:r>
    </w:p>
    <w:p w:rsidR="0072064D" w:rsidRDefault="0072064D" w:rsidP="0072064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Commercial vs. residential loan structures</w:t>
      </w:r>
    </w:p>
    <w:p w:rsidR="0072064D" w:rsidRDefault="0072064D" w:rsidP="0072064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Private money lending terms and negotiation</w:t>
      </w:r>
    </w:p>
    <w:p w:rsidR="0072064D" w:rsidRDefault="0072064D" w:rsidP="0072064D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Seller financing contract provisions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2.3: Tax Optimization</w:t>
      </w:r>
    </w:p>
    <w:p w:rsidR="0072064D" w:rsidRDefault="0072064D" w:rsidP="0072064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Cost segregation study implementation</w:t>
      </w:r>
    </w:p>
    <w:p w:rsidR="0072064D" w:rsidRDefault="0072064D" w:rsidP="0072064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Passive activity loss rules (PAL)</w:t>
      </w:r>
    </w:p>
    <w:p w:rsidR="0072064D" w:rsidRDefault="0072064D" w:rsidP="0072064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Depreciation recapture strategies</w:t>
      </w:r>
    </w:p>
    <w:p w:rsidR="0072064D" w:rsidRDefault="0072064D" w:rsidP="0072064D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1031 exchange identification rules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Case Study Analysis:</w:t>
      </w:r>
    </w:p>
    <w:p w:rsidR="0072064D" w:rsidRDefault="0072064D" w:rsidP="0072064D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Evaluate three property acquisition scenarios:</w:t>
      </w:r>
    </w:p>
    <w:p w:rsidR="0072064D" w:rsidRDefault="0072064D" w:rsidP="0072064D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Value-add multifamily in Opportunity Zone</w:t>
      </w:r>
    </w:p>
    <w:p w:rsidR="0072064D" w:rsidRDefault="0072064D" w:rsidP="0072064D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Turnkey single-family portfolio</w:t>
      </w:r>
    </w:p>
    <w:p w:rsidR="0072064D" w:rsidRDefault="0072064D" w:rsidP="0072064D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Mixed-use property with commercial tenants</w:t>
      </w:r>
    </w:p>
    <w:p w:rsidR="0072064D" w:rsidRDefault="0072064D" w:rsidP="0072064D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>
        <w:rPr>
          <w:rStyle w:val="Strong"/>
          <w:rFonts w:eastAsiaTheme="majorEastAsia"/>
          <w:b/>
          <w:bCs/>
          <w:color w:val="404040"/>
          <w:sz w:val="24"/>
          <w:szCs w:val="24"/>
        </w:rPr>
        <w:t>Module 3: Tenant Lifecycle Management (30 Hours)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3.1: Tenant Acquisition</w:t>
      </w:r>
    </w:p>
    <w:p w:rsidR="0072064D" w:rsidRDefault="0072064D" w:rsidP="0072064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Digital marketing strategies for vacancy reduction</w:t>
      </w:r>
    </w:p>
    <w:p w:rsidR="0072064D" w:rsidRDefault="0072064D" w:rsidP="0072064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Comprehensive screening criteria:</w:t>
      </w:r>
    </w:p>
    <w:p w:rsidR="0072064D" w:rsidRDefault="0072064D" w:rsidP="0072064D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Minimum credit score thresholds</w:t>
      </w:r>
    </w:p>
    <w:p w:rsidR="0072064D" w:rsidRDefault="0072064D" w:rsidP="0072064D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Income verification standards</w:t>
      </w:r>
    </w:p>
    <w:p w:rsidR="0072064D" w:rsidRDefault="0072064D" w:rsidP="0072064D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Criminal background check policies</w:t>
      </w:r>
    </w:p>
    <w:p w:rsidR="0072064D" w:rsidRDefault="0072064D" w:rsidP="0072064D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Application fee compliance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3.2: Operational Systems</w:t>
      </w:r>
    </w:p>
    <w:p w:rsidR="0072064D" w:rsidRDefault="0072064D" w:rsidP="0072064D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Maintenance request prioritization matrix</w:t>
      </w:r>
    </w:p>
    <w:p w:rsidR="0072064D" w:rsidRDefault="0072064D" w:rsidP="0072064D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Vendor management and bid processes</w:t>
      </w:r>
    </w:p>
    <w:p w:rsidR="0072064D" w:rsidRDefault="0072064D" w:rsidP="0072064D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Emergency repair protocols</w:t>
      </w:r>
    </w:p>
    <w:p w:rsidR="0072064D" w:rsidRDefault="0072064D" w:rsidP="0072064D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Capital expenditure planning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3.3: Retention Strategies</w:t>
      </w:r>
    </w:p>
    <w:p w:rsidR="0072064D" w:rsidRDefault="0072064D" w:rsidP="0072064D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Renewal incentive programs</w:t>
      </w:r>
    </w:p>
    <w:p w:rsidR="0072064D" w:rsidRDefault="0072064D" w:rsidP="0072064D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Tenant communication calendars</w:t>
      </w:r>
    </w:p>
    <w:p w:rsidR="0072064D" w:rsidRDefault="0072064D" w:rsidP="0072064D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Community building initiatives</w:t>
      </w:r>
    </w:p>
    <w:p w:rsidR="0072064D" w:rsidRDefault="0072064D" w:rsidP="0072064D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Dispute resolution frameworks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Technology Lab:</w:t>
      </w:r>
    </w:p>
    <w:p w:rsidR="0072064D" w:rsidRDefault="0072064D" w:rsidP="0072064D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Hands-on training with:</w:t>
      </w:r>
    </w:p>
    <w:p w:rsidR="0072064D" w:rsidRDefault="0072064D" w:rsidP="0072064D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proofErr w:type="spellStart"/>
      <w:r>
        <w:rPr>
          <w:color w:val="404040"/>
        </w:rPr>
        <w:t>AppFolio</w:t>
      </w:r>
      <w:proofErr w:type="spellEnd"/>
      <w:r>
        <w:rPr>
          <w:color w:val="404040"/>
        </w:rPr>
        <w:t xml:space="preserve"> property management software</w:t>
      </w:r>
    </w:p>
    <w:p w:rsidR="0072064D" w:rsidRDefault="0072064D" w:rsidP="0072064D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proofErr w:type="spellStart"/>
      <w:r>
        <w:rPr>
          <w:color w:val="404040"/>
        </w:rPr>
        <w:t>RentSpree</w:t>
      </w:r>
      <w:proofErr w:type="spellEnd"/>
      <w:r>
        <w:rPr>
          <w:color w:val="404040"/>
        </w:rPr>
        <w:t xml:space="preserve"> tenant screening platform</w:t>
      </w:r>
    </w:p>
    <w:p w:rsidR="0072064D" w:rsidRDefault="0072064D" w:rsidP="0072064D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proofErr w:type="spellStart"/>
      <w:r>
        <w:rPr>
          <w:color w:val="404040"/>
        </w:rPr>
        <w:t>HappyCo</w:t>
      </w:r>
      <w:proofErr w:type="spellEnd"/>
      <w:r>
        <w:rPr>
          <w:color w:val="404040"/>
        </w:rPr>
        <w:t xml:space="preserve"> inspection tools</w:t>
      </w:r>
    </w:p>
    <w:p w:rsidR="0072064D" w:rsidRDefault="0072064D" w:rsidP="0072064D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>
        <w:rPr>
          <w:rStyle w:val="Strong"/>
          <w:rFonts w:eastAsiaTheme="majorEastAsia"/>
          <w:b/>
          <w:bCs/>
          <w:color w:val="404040"/>
          <w:sz w:val="24"/>
          <w:szCs w:val="24"/>
        </w:rPr>
        <w:lastRenderedPageBreak/>
        <w:t>Module 4: Risk Management (25 Hours)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4.1: Insurance Structures</w:t>
      </w:r>
    </w:p>
    <w:p w:rsidR="0072064D" w:rsidRDefault="0072064D" w:rsidP="0072064D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Landlord policy components:</w:t>
      </w:r>
    </w:p>
    <w:p w:rsidR="0072064D" w:rsidRDefault="0072064D" w:rsidP="0072064D">
      <w:pPr>
        <w:pStyle w:val="ds-markdown-paragraph"/>
        <w:numPr>
          <w:ilvl w:val="1"/>
          <w:numId w:val="3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Dwelling coverage</w:t>
      </w:r>
    </w:p>
    <w:p w:rsidR="0072064D" w:rsidRDefault="0072064D" w:rsidP="0072064D">
      <w:pPr>
        <w:pStyle w:val="ds-markdown-paragraph"/>
        <w:numPr>
          <w:ilvl w:val="1"/>
          <w:numId w:val="3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Loss of rents</w:t>
      </w:r>
    </w:p>
    <w:p w:rsidR="0072064D" w:rsidRDefault="0072064D" w:rsidP="0072064D">
      <w:pPr>
        <w:pStyle w:val="ds-markdown-paragraph"/>
        <w:numPr>
          <w:ilvl w:val="1"/>
          <w:numId w:val="3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Liability limits</w:t>
      </w:r>
    </w:p>
    <w:p w:rsidR="0072064D" w:rsidRDefault="0072064D" w:rsidP="0072064D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Umbrella policy requirements</w:t>
      </w:r>
    </w:p>
    <w:p w:rsidR="0072064D" w:rsidRDefault="0072064D" w:rsidP="0072064D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Flood zone determinations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4.2: Hazard Mitigation</w:t>
      </w:r>
    </w:p>
    <w:p w:rsidR="0072064D" w:rsidRDefault="0072064D" w:rsidP="0072064D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Building safety audits</w:t>
      </w:r>
    </w:p>
    <w:p w:rsidR="0072064D" w:rsidRDefault="0072064D" w:rsidP="0072064D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Mold prevention protocols</w:t>
      </w:r>
    </w:p>
    <w:p w:rsidR="0072064D" w:rsidRDefault="0072064D" w:rsidP="0072064D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Bed bug remediation plans</w:t>
      </w:r>
    </w:p>
    <w:p w:rsidR="0072064D" w:rsidRDefault="0072064D" w:rsidP="0072064D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Natural disaster preparedness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4.3: Legal Defense Strategies</w:t>
      </w:r>
    </w:p>
    <w:p w:rsidR="0072064D" w:rsidRDefault="0072064D" w:rsidP="0072064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Documentation best practices</w:t>
      </w:r>
    </w:p>
    <w:p w:rsidR="0072064D" w:rsidRDefault="0072064D" w:rsidP="0072064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Small claims court procedures</w:t>
      </w:r>
    </w:p>
    <w:p w:rsidR="0072064D" w:rsidRDefault="0072064D" w:rsidP="0072064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Mediation vs. litigation decisions</w:t>
      </w:r>
    </w:p>
    <w:p w:rsidR="0072064D" w:rsidRDefault="0072064D" w:rsidP="0072064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Attorney engagement protocols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Simulation Exercise:</w:t>
      </w:r>
    </w:p>
    <w:p w:rsidR="0072064D" w:rsidRDefault="0072064D" w:rsidP="0072064D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Respond to simulated:</w:t>
      </w:r>
    </w:p>
    <w:p w:rsidR="0072064D" w:rsidRDefault="0072064D" w:rsidP="0072064D">
      <w:pPr>
        <w:pStyle w:val="ds-markdown-paragraph"/>
        <w:numPr>
          <w:ilvl w:val="1"/>
          <w:numId w:val="3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Tenant injury claim</w:t>
      </w:r>
    </w:p>
    <w:p w:rsidR="0072064D" w:rsidRDefault="0072064D" w:rsidP="0072064D">
      <w:pPr>
        <w:pStyle w:val="ds-markdown-paragraph"/>
        <w:numPr>
          <w:ilvl w:val="1"/>
          <w:numId w:val="3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Municipal code violation</w:t>
      </w:r>
    </w:p>
    <w:p w:rsidR="0072064D" w:rsidRDefault="0072064D" w:rsidP="0072064D">
      <w:pPr>
        <w:pStyle w:val="ds-markdown-paragraph"/>
        <w:numPr>
          <w:ilvl w:val="1"/>
          <w:numId w:val="3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Rent control petition</w:t>
      </w:r>
    </w:p>
    <w:p w:rsidR="0072064D" w:rsidRDefault="0072064D" w:rsidP="0072064D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>
        <w:rPr>
          <w:rStyle w:val="Strong"/>
          <w:rFonts w:eastAsiaTheme="majorEastAsia"/>
          <w:b/>
          <w:bCs/>
          <w:color w:val="404040"/>
          <w:sz w:val="24"/>
          <w:szCs w:val="24"/>
        </w:rPr>
        <w:t>Module 5: Portfolio Growth Strategies (30 Hours)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5.1: Value Creation</w:t>
      </w:r>
    </w:p>
    <w:p w:rsidR="0072064D" w:rsidRDefault="0072064D" w:rsidP="0072064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Renovation ROI analysis:</w:t>
      </w:r>
    </w:p>
    <w:p w:rsidR="0072064D" w:rsidRDefault="0072064D" w:rsidP="0072064D">
      <w:pPr>
        <w:pStyle w:val="ds-markdown-paragraph"/>
        <w:numPr>
          <w:ilvl w:val="1"/>
          <w:numId w:val="3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Kitchen/bathroom upgrades</w:t>
      </w:r>
    </w:p>
    <w:p w:rsidR="0072064D" w:rsidRDefault="0072064D" w:rsidP="0072064D">
      <w:pPr>
        <w:pStyle w:val="ds-markdown-paragraph"/>
        <w:numPr>
          <w:ilvl w:val="1"/>
          <w:numId w:val="3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Curb appeal improvements</w:t>
      </w:r>
    </w:p>
    <w:p w:rsidR="0072064D" w:rsidRDefault="0072064D" w:rsidP="0072064D">
      <w:pPr>
        <w:pStyle w:val="ds-markdown-paragraph"/>
        <w:numPr>
          <w:ilvl w:val="1"/>
          <w:numId w:val="3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Energy efficiency retrofits</w:t>
      </w:r>
    </w:p>
    <w:p w:rsidR="0072064D" w:rsidRDefault="0072064D" w:rsidP="0072064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Unit mix optimization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5.2: Acquisition Strategies</w:t>
      </w:r>
    </w:p>
    <w:p w:rsidR="0072064D" w:rsidRDefault="0072064D" w:rsidP="0072064D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Off-market deal sourcing</w:t>
      </w:r>
    </w:p>
    <w:p w:rsidR="0072064D" w:rsidRDefault="0072064D" w:rsidP="0072064D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Probate and foreclosure opportunities</w:t>
      </w:r>
    </w:p>
    <w:p w:rsidR="0072064D" w:rsidRDefault="0072064D" w:rsidP="0072064D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Seller financing negotiations</w:t>
      </w:r>
    </w:p>
    <w:p w:rsidR="0072064D" w:rsidRDefault="0072064D" w:rsidP="0072064D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Syndication basics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Unit 5.3: Exit Planning</w:t>
      </w:r>
    </w:p>
    <w:p w:rsidR="0072064D" w:rsidRDefault="0072064D" w:rsidP="0072064D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1031 exchange timelines</w:t>
      </w:r>
    </w:p>
    <w:p w:rsidR="0072064D" w:rsidRDefault="0072064D" w:rsidP="0072064D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Installment sale structuring</w:t>
      </w:r>
    </w:p>
    <w:p w:rsidR="0072064D" w:rsidRDefault="0072064D" w:rsidP="0072064D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Step-up in basis planning</w:t>
      </w:r>
    </w:p>
    <w:p w:rsidR="0072064D" w:rsidRDefault="0072064D" w:rsidP="0072064D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Inheritance strategies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Financial Modeling Workshop:</w:t>
      </w:r>
    </w:p>
    <w:p w:rsidR="0072064D" w:rsidRDefault="0072064D" w:rsidP="0072064D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60" w:afterAutospacing="0" w:line="429" w:lineRule="atLeast"/>
        <w:ind w:left="0"/>
        <w:rPr>
          <w:color w:val="404040"/>
        </w:rPr>
      </w:pPr>
      <w:r>
        <w:rPr>
          <w:color w:val="404040"/>
        </w:rPr>
        <w:t>Build 10-year projection models for:</w:t>
      </w:r>
    </w:p>
    <w:p w:rsidR="0072064D" w:rsidRDefault="0072064D" w:rsidP="0072064D">
      <w:pPr>
        <w:pStyle w:val="ds-markdown-paragraph"/>
        <w:numPr>
          <w:ilvl w:val="1"/>
          <w:numId w:val="4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Value-add apartment complex</w:t>
      </w:r>
    </w:p>
    <w:p w:rsidR="0072064D" w:rsidRDefault="0072064D" w:rsidP="0072064D">
      <w:pPr>
        <w:pStyle w:val="ds-markdown-paragraph"/>
        <w:numPr>
          <w:ilvl w:val="1"/>
          <w:numId w:val="4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Single-family rental portfolio</w:t>
      </w:r>
    </w:p>
    <w:p w:rsidR="0072064D" w:rsidRDefault="0072064D" w:rsidP="0072064D">
      <w:pPr>
        <w:pStyle w:val="ds-markdown-paragraph"/>
        <w:numPr>
          <w:ilvl w:val="1"/>
          <w:numId w:val="41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Mixed-use development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Capstone Project Requirements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Phase 1: Investment Thesis Development</w:t>
      </w:r>
    </w:p>
    <w:p w:rsidR="0072064D" w:rsidRDefault="0072064D" w:rsidP="0072064D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Market analysis (demographics, employment, supply/demand)</w:t>
      </w:r>
    </w:p>
    <w:p w:rsidR="0072064D" w:rsidRDefault="0072064D" w:rsidP="0072064D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Target asset class selection</w:t>
      </w:r>
    </w:p>
    <w:p w:rsidR="0072064D" w:rsidRDefault="0072064D" w:rsidP="0072064D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Competitive positioning strategy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Phase 2: Property Acquisition Plan</w:t>
      </w:r>
    </w:p>
    <w:p w:rsidR="0072064D" w:rsidRDefault="0072064D" w:rsidP="0072064D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Pro forma financial model</w:t>
      </w:r>
    </w:p>
    <w:p w:rsidR="0072064D" w:rsidRDefault="0072064D" w:rsidP="0072064D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Financing term sheet</w:t>
      </w:r>
    </w:p>
    <w:p w:rsidR="0072064D" w:rsidRDefault="0072064D" w:rsidP="0072064D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Due diligence checklist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Phase 3: Operational Blueprint</w:t>
      </w:r>
    </w:p>
    <w:p w:rsidR="0072064D" w:rsidRDefault="0072064D" w:rsidP="0072064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Management company RFP</w:t>
      </w:r>
    </w:p>
    <w:p w:rsidR="0072064D" w:rsidRDefault="0072064D" w:rsidP="0072064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Tenant handbook development</w:t>
      </w:r>
    </w:p>
    <w:p w:rsidR="0072064D" w:rsidRDefault="0072064D" w:rsidP="0072064D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Maintenance vendor contracts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Instructional Methodology</w:t>
      </w:r>
    </w:p>
    <w:p w:rsidR="0072064D" w:rsidRDefault="0072064D" w:rsidP="0072064D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Live Case Studies:</w:t>
      </w:r>
      <w:r>
        <w:rPr>
          <w:color w:val="404040"/>
        </w:rPr>
        <w:t> Analysis of real property deals</w:t>
      </w:r>
    </w:p>
    <w:p w:rsidR="0072064D" w:rsidRDefault="0072064D" w:rsidP="0072064D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Guest Lectures:</w:t>
      </w:r>
      <w:r>
        <w:rPr>
          <w:color w:val="404040"/>
        </w:rPr>
        <w:t> Industry experts (attorneys, lenders, property managers)</w:t>
      </w:r>
    </w:p>
    <w:p w:rsidR="0072064D" w:rsidRDefault="0072064D" w:rsidP="0072064D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Site Visits:</w:t>
      </w:r>
      <w:r>
        <w:rPr>
          <w:color w:val="404040"/>
        </w:rPr>
        <w:t> Operational property tours</w:t>
      </w:r>
    </w:p>
    <w:p w:rsidR="0072064D" w:rsidRDefault="0072064D" w:rsidP="0072064D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Simulation Exercises:</w:t>
      </w:r>
      <w:r>
        <w:rPr>
          <w:color w:val="404040"/>
        </w:rPr>
        <w:t> Eviction court role-play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Assessment Framework</w:t>
      </w:r>
    </w:p>
    <w:p w:rsidR="0072064D" w:rsidRDefault="0072064D" w:rsidP="0072064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Module Quizzes (20%)</w:t>
      </w:r>
    </w:p>
    <w:p w:rsidR="0072064D" w:rsidRDefault="0072064D" w:rsidP="0072064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Practical Assignments (30%)</w:t>
      </w:r>
    </w:p>
    <w:p w:rsidR="0072064D" w:rsidRDefault="0072064D" w:rsidP="0072064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Capstone Project (40%)</w:t>
      </w:r>
    </w:p>
    <w:p w:rsidR="0072064D" w:rsidRDefault="0072064D" w:rsidP="0072064D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Class Participation (10%)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Professional Resources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Digital Toolkit Includes:</w:t>
      </w:r>
    </w:p>
    <w:p w:rsidR="0072064D" w:rsidRDefault="0072064D" w:rsidP="0072064D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State-specific lease agreement templates</w:t>
      </w:r>
    </w:p>
    <w:p w:rsidR="0072064D" w:rsidRDefault="0072064D" w:rsidP="0072064D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Financial modeling spreadsheets</w:t>
      </w:r>
    </w:p>
    <w:p w:rsidR="0072064D" w:rsidRDefault="0072064D" w:rsidP="0072064D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Maintenance request tracking system</w:t>
      </w:r>
    </w:p>
    <w:p w:rsidR="0072064D" w:rsidRDefault="0072064D" w:rsidP="0072064D">
      <w:pPr>
        <w:pStyle w:val="ds-markdown-paragraph"/>
        <w:numPr>
          <w:ilvl w:val="0"/>
          <w:numId w:val="47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Tenant screening criteria matrix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rStyle w:val="Strong"/>
          <w:rFonts w:eastAsiaTheme="majorEastAsia"/>
          <w:color w:val="404040"/>
        </w:rPr>
        <w:t>Continuing Education:</w:t>
      </w:r>
    </w:p>
    <w:p w:rsidR="0072064D" w:rsidRDefault="0072064D" w:rsidP="0072064D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lastRenderedPageBreak/>
        <w:t>Annual legal update symposium</w:t>
      </w:r>
    </w:p>
    <w:p w:rsidR="0072064D" w:rsidRDefault="0072064D" w:rsidP="0072064D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Local market trend webinars</w:t>
      </w:r>
    </w:p>
    <w:p w:rsidR="0072064D" w:rsidRDefault="0072064D" w:rsidP="0072064D">
      <w:pPr>
        <w:pStyle w:val="ds-markdown-paragraph"/>
        <w:numPr>
          <w:ilvl w:val="0"/>
          <w:numId w:val="48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Investor networking events</w:t>
      </w:r>
    </w:p>
    <w:p w:rsidR="0072064D" w:rsidRDefault="0072064D" w:rsidP="0072064D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>
        <w:rPr>
          <w:rStyle w:val="Strong"/>
          <w:b/>
          <w:bCs/>
          <w:color w:val="404040"/>
          <w:sz w:val="24"/>
          <w:szCs w:val="24"/>
        </w:rPr>
        <w:t>Conclusion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color w:val="404040"/>
        </w:rPr>
        <w:t>This certification delivers unparalleled depth in:</w:t>
      </w:r>
    </w:p>
    <w:p w:rsidR="0072064D" w:rsidRDefault="0072064D" w:rsidP="0072064D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Regulatory Compliance:</w:t>
      </w:r>
      <w:r>
        <w:rPr>
          <w:color w:val="404040"/>
        </w:rPr>
        <w:t> Avoid costly violations through master-level understanding of landlord-tenant law</w:t>
      </w:r>
    </w:p>
    <w:p w:rsidR="0072064D" w:rsidRDefault="0072064D" w:rsidP="0072064D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Financial Sophistication:</w:t>
      </w:r>
      <w:r>
        <w:rPr>
          <w:color w:val="404040"/>
        </w:rPr>
        <w:t> Confidently analyze deals using institutional-grade underwriting models</w:t>
      </w:r>
    </w:p>
    <w:p w:rsidR="0072064D" w:rsidRDefault="0072064D" w:rsidP="0072064D">
      <w:pPr>
        <w:pStyle w:val="ds-markdown-paragraph"/>
        <w:numPr>
          <w:ilvl w:val="0"/>
          <w:numId w:val="49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rStyle w:val="Strong"/>
          <w:rFonts w:eastAsiaTheme="majorEastAsia"/>
          <w:color w:val="404040"/>
        </w:rPr>
        <w:t>Operational Excellence:</w:t>
      </w:r>
      <w:r>
        <w:rPr>
          <w:color w:val="404040"/>
        </w:rPr>
        <w:t> Implement systems that maximize NOI while minimizing headaches</w:t>
      </w:r>
    </w:p>
    <w:p w:rsidR="0072064D" w:rsidRDefault="0072064D" w:rsidP="0072064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>
        <w:rPr>
          <w:color w:val="404040"/>
        </w:rPr>
        <w:t>Certified join an elite network of certified professionals with access to:</w:t>
      </w:r>
    </w:p>
    <w:p w:rsidR="0072064D" w:rsidRDefault="0072064D" w:rsidP="0072064D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Preferred lender programs</w:t>
      </w:r>
    </w:p>
    <w:p w:rsidR="0072064D" w:rsidRDefault="0072064D" w:rsidP="0072064D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Vendor discount networks</w:t>
      </w:r>
    </w:p>
    <w:p w:rsidR="0072064D" w:rsidRDefault="0072064D" w:rsidP="0072064D">
      <w:pPr>
        <w:pStyle w:val="ds-markdown-paragraph"/>
        <w:numPr>
          <w:ilvl w:val="0"/>
          <w:numId w:val="50"/>
        </w:numPr>
        <w:shd w:val="clear" w:color="auto" w:fill="FFFFFF"/>
        <w:spacing w:before="0" w:beforeAutospacing="0" w:afterAutospacing="0" w:line="429" w:lineRule="atLeast"/>
        <w:ind w:left="0"/>
        <w:rPr>
          <w:color w:val="404040"/>
        </w:rPr>
      </w:pPr>
      <w:r>
        <w:rPr>
          <w:color w:val="404040"/>
        </w:rPr>
        <w:t>Deal flow sharing platforms</w:t>
      </w:r>
    </w:p>
    <w:p w:rsidR="0072064D" w:rsidRDefault="0072064D" w:rsidP="0072064D"/>
    <w:p w:rsidR="00553FEB" w:rsidRPr="0072064D" w:rsidRDefault="00553FEB" w:rsidP="0072064D"/>
    <w:sectPr w:rsidR="00553FEB" w:rsidRPr="0072064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42" w:rsidRDefault="004E0242" w:rsidP="00553FEB">
      <w:pPr>
        <w:spacing w:after="0" w:line="240" w:lineRule="auto"/>
      </w:pPr>
      <w:r>
        <w:separator/>
      </w:r>
    </w:p>
  </w:endnote>
  <w:endnote w:type="continuationSeparator" w:id="0">
    <w:p w:rsidR="004E0242" w:rsidRDefault="004E024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42" w:rsidRDefault="004E0242" w:rsidP="00553FEB">
      <w:pPr>
        <w:spacing w:after="0" w:line="240" w:lineRule="auto"/>
      </w:pPr>
      <w:r>
        <w:separator/>
      </w:r>
    </w:p>
  </w:footnote>
  <w:footnote w:type="continuationSeparator" w:id="0">
    <w:p w:rsidR="004E0242" w:rsidRDefault="004E024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E02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4E02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E02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5199F"/>
    <w:multiLevelType w:val="multilevel"/>
    <w:tmpl w:val="21E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74E38"/>
    <w:multiLevelType w:val="multilevel"/>
    <w:tmpl w:val="DDF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42509"/>
    <w:multiLevelType w:val="multilevel"/>
    <w:tmpl w:val="0EA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B743E"/>
    <w:multiLevelType w:val="multilevel"/>
    <w:tmpl w:val="994C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315FF4"/>
    <w:multiLevelType w:val="multilevel"/>
    <w:tmpl w:val="A59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31EC1"/>
    <w:multiLevelType w:val="multilevel"/>
    <w:tmpl w:val="0E24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8E6921"/>
    <w:multiLevelType w:val="multilevel"/>
    <w:tmpl w:val="EB4C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133546"/>
    <w:multiLevelType w:val="multilevel"/>
    <w:tmpl w:val="007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8B12D7"/>
    <w:multiLevelType w:val="multilevel"/>
    <w:tmpl w:val="CFD0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03B96"/>
    <w:multiLevelType w:val="multilevel"/>
    <w:tmpl w:val="2E7C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9343DE"/>
    <w:multiLevelType w:val="multilevel"/>
    <w:tmpl w:val="9FC0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B44CA9"/>
    <w:multiLevelType w:val="multilevel"/>
    <w:tmpl w:val="4E8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4A5D39"/>
    <w:multiLevelType w:val="multilevel"/>
    <w:tmpl w:val="1CA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C03F31"/>
    <w:multiLevelType w:val="multilevel"/>
    <w:tmpl w:val="043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AD7FFD"/>
    <w:multiLevelType w:val="multilevel"/>
    <w:tmpl w:val="C872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6C22A4"/>
    <w:multiLevelType w:val="multilevel"/>
    <w:tmpl w:val="273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B14F95"/>
    <w:multiLevelType w:val="multilevel"/>
    <w:tmpl w:val="89A0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8E646A"/>
    <w:multiLevelType w:val="multilevel"/>
    <w:tmpl w:val="FA50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3254EA"/>
    <w:multiLevelType w:val="multilevel"/>
    <w:tmpl w:val="B204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26450E"/>
    <w:multiLevelType w:val="multilevel"/>
    <w:tmpl w:val="DF6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15766F"/>
    <w:multiLevelType w:val="multilevel"/>
    <w:tmpl w:val="A26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024E16"/>
    <w:multiLevelType w:val="multilevel"/>
    <w:tmpl w:val="F06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997332"/>
    <w:multiLevelType w:val="multilevel"/>
    <w:tmpl w:val="119E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47022A"/>
    <w:multiLevelType w:val="multilevel"/>
    <w:tmpl w:val="8BCC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E0235E"/>
    <w:multiLevelType w:val="multilevel"/>
    <w:tmpl w:val="1AC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9D6C06"/>
    <w:multiLevelType w:val="multilevel"/>
    <w:tmpl w:val="EEF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AB245B"/>
    <w:multiLevelType w:val="multilevel"/>
    <w:tmpl w:val="EBD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C43010"/>
    <w:multiLevelType w:val="multilevel"/>
    <w:tmpl w:val="FF96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D95302"/>
    <w:multiLevelType w:val="multilevel"/>
    <w:tmpl w:val="903A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0C4F78"/>
    <w:multiLevelType w:val="multilevel"/>
    <w:tmpl w:val="059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7"/>
  </w:num>
  <w:num w:numId="5">
    <w:abstractNumId w:val="0"/>
  </w:num>
  <w:num w:numId="6">
    <w:abstractNumId w:val="11"/>
  </w:num>
  <w:num w:numId="7">
    <w:abstractNumId w:val="41"/>
  </w:num>
  <w:num w:numId="8">
    <w:abstractNumId w:val="16"/>
  </w:num>
  <w:num w:numId="9">
    <w:abstractNumId w:val="27"/>
  </w:num>
  <w:num w:numId="10">
    <w:abstractNumId w:val="15"/>
  </w:num>
  <w:num w:numId="11">
    <w:abstractNumId w:val="12"/>
  </w:num>
  <w:num w:numId="12">
    <w:abstractNumId w:val="45"/>
  </w:num>
  <w:num w:numId="13">
    <w:abstractNumId w:val="32"/>
  </w:num>
  <w:num w:numId="14">
    <w:abstractNumId w:val="42"/>
  </w:num>
  <w:num w:numId="15">
    <w:abstractNumId w:val="20"/>
  </w:num>
  <w:num w:numId="16">
    <w:abstractNumId w:val="9"/>
  </w:num>
  <w:num w:numId="17">
    <w:abstractNumId w:val="14"/>
  </w:num>
  <w:num w:numId="18">
    <w:abstractNumId w:val="40"/>
  </w:num>
  <w:num w:numId="19">
    <w:abstractNumId w:val="39"/>
  </w:num>
  <w:num w:numId="20">
    <w:abstractNumId w:val="29"/>
  </w:num>
  <w:num w:numId="2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4E0242"/>
    <w:rsid w:val="005148B4"/>
    <w:rsid w:val="00553FEB"/>
    <w:rsid w:val="005E28E3"/>
    <w:rsid w:val="0069592A"/>
    <w:rsid w:val="0072064D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4D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uiPriority w:val="99"/>
    <w:rsid w:val="0072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4D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uiPriority w:val="99"/>
    <w:rsid w:val="0072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2025-05-23T06:11:00Z</dcterms:modified>
</cp:coreProperties>
</file>